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C59" w:rsidRPr="00785B73" w:rsidRDefault="00466C59" w:rsidP="00785B73">
      <w:pPr>
        <w:spacing w:line="560" w:lineRule="exact"/>
        <w:jc w:val="center"/>
        <w:rPr>
          <w:rFonts w:ascii="仿宋_GB2312" w:eastAsia="仿宋_GB2312" w:hAnsi="宋体" w:cs="宋体" w:hint="eastAsia"/>
          <w:b/>
          <w:bCs/>
          <w:color w:val="000000"/>
          <w:kern w:val="0"/>
          <w:sz w:val="32"/>
          <w:szCs w:val="32"/>
        </w:rPr>
      </w:pPr>
      <w:r w:rsidRPr="00785B73">
        <w:rPr>
          <w:rFonts w:ascii="仿宋_GB2312" w:eastAsia="仿宋_GB2312" w:hAnsi="Times New Roman" w:hint="eastAsia"/>
          <w:b/>
          <w:bCs/>
          <w:color w:val="000000"/>
          <w:sz w:val="32"/>
          <w:szCs w:val="32"/>
        </w:rPr>
        <w:t>附件1</w:t>
      </w:r>
      <w:r w:rsidR="00785B73" w:rsidRPr="00785B73">
        <w:rPr>
          <w:rFonts w:ascii="仿宋_GB2312" w:eastAsia="仿宋_GB2312" w:hAnsi="Times New Roman" w:hint="eastAsia"/>
          <w:b/>
          <w:bCs/>
          <w:color w:val="000000"/>
          <w:sz w:val="32"/>
          <w:szCs w:val="32"/>
        </w:rPr>
        <w:t>：</w:t>
      </w:r>
      <w:r w:rsidRPr="00785B73">
        <w:rPr>
          <w:rFonts w:ascii="仿宋_GB2312" w:eastAsia="仿宋_GB2312" w:hAnsi="宋体" w:cs="宋体" w:hint="eastAsia"/>
          <w:b/>
          <w:bCs/>
          <w:color w:val="000000"/>
          <w:kern w:val="0"/>
          <w:sz w:val="32"/>
          <w:szCs w:val="32"/>
        </w:rPr>
        <w:t>《需进行临床试验审批的第三类医疗器械目录</w:t>
      </w:r>
      <w:r w:rsidR="00785B73" w:rsidRPr="00785B73">
        <w:rPr>
          <w:rFonts w:ascii="仿宋_GB2312" w:eastAsia="仿宋_GB2312" w:hAnsi="宋体" w:cs="宋体" w:hint="eastAsia"/>
          <w:b/>
          <w:bCs/>
          <w:color w:val="000000"/>
          <w:kern w:val="0"/>
          <w:sz w:val="32"/>
          <w:szCs w:val="32"/>
        </w:rPr>
        <w:t>（2019年修订版）</w:t>
      </w:r>
      <w:r w:rsidRPr="00785B73">
        <w:rPr>
          <w:rFonts w:ascii="仿宋_GB2312" w:eastAsia="仿宋_GB2312" w:hAnsi="宋体" w:cs="宋体" w:hint="eastAsia"/>
          <w:b/>
          <w:bCs/>
          <w:color w:val="000000"/>
          <w:kern w:val="0"/>
          <w:sz w:val="32"/>
          <w:szCs w:val="32"/>
        </w:rPr>
        <w:t>》（征求意见稿）</w:t>
      </w:r>
    </w:p>
    <w:p w:rsidR="00785B73" w:rsidRPr="00466C59" w:rsidRDefault="00785B73" w:rsidP="00466C59">
      <w:pPr>
        <w:spacing w:line="560" w:lineRule="exact"/>
        <w:rPr>
          <w:rFonts w:ascii="仿宋_GB2312" w:eastAsia="仿宋_GB2312" w:hAnsi="Times New Roman"/>
          <w:bCs/>
          <w:color w:val="000000"/>
          <w:sz w:val="32"/>
          <w:szCs w:val="32"/>
        </w:rPr>
      </w:pPr>
    </w:p>
    <w:tbl>
      <w:tblPr>
        <w:tblW w:w="565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7"/>
        <w:gridCol w:w="1547"/>
        <w:gridCol w:w="1502"/>
        <w:gridCol w:w="766"/>
        <w:gridCol w:w="5386"/>
      </w:tblGrid>
      <w:tr w:rsidR="00466C59" w:rsidRPr="002519A6" w:rsidTr="00785B73">
        <w:trPr>
          <w:trHeight w:val="312"/>
        </w:trPr>
        <w:tc>
          <w:tcPr>
            <w:tcW w:w="227" w:type="pct"/>
            <w:vMerge w:val="restart"/>
            <w:shd w:val="clear" w:color="auto" w:fill="auto"/>
            <w:vAlign w:val="center"/>
            <w:hideMark/>
          </w:tcPr>
          <w:p w:rsidR="00466C59" w:rsidRPr="002519A6" w:rsidRDefault="00466C59" w:rsidP="00073623">
            <w:pPr>
              <w:widowControl/>
              <w:jc w:val="center"/>
              <w:rPr>
                <w:rFonts w:ascii="宋体" w:hAnsi="宋体" w:cs="宋体"/>
                <w:b/>
                <w:bCs/>
                <w:color w:val="000000"/>
                <w:kern w:val="0"/>
                <w:sz w:val="22"/>
              </w:rPr>
            </w:pPr>
            <w:r w:rsidRPr="002519A6">
              <w:rPr>
                <w:rFonts w:ascii="宋体" w:hAnsi="宋体" w:cs="宋体" w:hint="eastAsia"/>
                <w:b/>
                <w:bCs/>
                <w:color w:val="000000"/>
                <w:kern w:val="0"/>
                <w:sz w:val="22"/>
              </w:rPr>
              <w:t>序号</w:t>
            </w:r>
          </w:p>
        </w:tc>
        <w:tc>
          <w:tcPr>
            <w:tcW w:w="1582" w:type="pct"/>
            <w:gridSpan w:val="2"/>
            <w:vMerge w:val="restart"/>
            <w:shd w:val="clear" w:color="auto" w:fill="auto"/>
            <w:vAlign w:val="center"/>
            <w:hideMark/>
          </w:tcPr>
          <w:p w:rsidR="00466C59" w:rsidRPr="002519A6" w:rsidRDefault="00466C59" w:rsidP="00073623">
            <w:pPr>
              <w:widowControl/>
              <w:jc w:val="center"/>
              <w:rPr>
                <w:rFonts w:ascii="宋体" w:hAnsi="宋体" w:cs="宋体"/>
                <w:b/>
                <w:bCs/>
                <w:color w:val="000000"/>
                <w:kern w:val="0"/>
                <w:sz w:val="22"/>
              </w:rPr>
            </w:pPr>
            <w:r w:rsidRPr="002519A6">
              <w:rPr>
                <w:rFonts w:ascii="宋体" w:hAnsi="宋体" w:cs="宋体" w:hint="eastAsia"/>
                <w:b/>
                <w:bCs/>
                <w:color w:val="000000"/>
                <w:kern w:val="0"/>
                <w:sz w:val="22"/>
              </w:rPr>
              <w:t>产品</w:t>
            </w:r>
            <w:r>
              <w:rPr>
                <w:rFonts w:ascii="宋体" w:hAnsi="宋体" w:cs="宋体" w:hint="eastAsia"/>
                <w:b/>
                <w:bCs/>
                <w:color w:val="000000"/>
                <w:kern w:val="0"/>
                <w:sz w:val="22"/>
              </w:rPr>
              <w:t>类别</w:t>
            </w:r>
          </w:p>
        </w:tc>
        <w:tc>
          <w:tcPr>
            <w:tcW w:w="397" w:type="pct"/>
            <w:vMerge w:val="restart"/>
            <w:shd w:val="clear" w:color="auto" w:fill="auto"/>
            <w:vAlign w:val="center"/>
            <w:hideMark/>
          </w:tcPr>
          <w:p w:rsidR="00466C59" w:rsidRPr="002519A6" w:rsidRDefault="00466C59" w:rsidP="00073623">
            <w:pPr>
              <w:widowControl/>
              <w:jc w:val="center"/>
              <w:rPr>
                <w:rFonts w:ascii="宋体" w:hAnsi="宋体" w:cs="宋体"/>
                <w:b/>
                <w:bCs/>
                <w:color w:val="000000"/>
                <w:kern w:val="0"/>
                <w:sz w:val="22"/>
              </w:rPr>
            </w:pPr>
            <w:r w:rsidRPr="002519A6">
              <w:rPr>
                <w:rFonts w:ascii="宋体" w:hAnsi="宋体" w:cs="宋体" w:hint="eastAsia"/>
                <w:b/>
                <w:bCs/>
                <w:color w:val="000000"/>
                <w:kern w:val="0"/>
                <w:sz w:val="22"/>
              </w:rPr>
              <w:t>分类编码</w:t>
            </w:r>
          </w:p>
        </w:tc>
        <w:tc>
          <w:tcPr>
            <w:tcW w:w="2794" w:type="pct"/>
            <w:vMerge w:val="restart"/>
            <w:shd w:val="clear" w:color="auto" w:fill="auto"/>
            <w:vAlign w:val="center"/>
            <w:hideMark/>
          </w:tcPr>
          <w:p w:rsidR="00466C59" w:rsidRPr="002519A6" w:rsidRDefault="00466C59" w:rsidP="00073623">
            <w:pPr>
              <w:widowControl/>
              <w:jc w:val="center"/>
              <w:rPr>
                <w:rFonts w:ascii="宋体" w:hAnsi="宋体" w:cs="宋体"/>
                <w:b/>
                <w:bCs/>
                <w:color w:val="000000"/>
                <w:kern w:val="0"/>
                <w:sz w:val="22"/>
              </w:rPr>
            </w:pPr>
            <w:r w:rsidRPr="002519A6">
              <w:rPr>
                <w:rFonts w:ascii="宋体" w:hAnsi="宋体" w:cs="宋体" w:hint="eastAsia"/>
                <w:b/>
                <w:bCs/>
                <w:color w:val="000000"/>
                <w:kern w:val="0"/>
                <w:sz w:val="22"/>
              </w:rPr>
              <w:t>产品描述</w:t>
            </w:r>
          </w:p>
        </w:tc>
      </w:tr>
      <w:tr w:rsidR="00466C59" w:rsidRPr="002519A6" w:rsidTr="00785B73">
        <w:trPr>
          <w:trHeight w:val="312"/>
        </w:trPr>
        <w:tc>
          <w:tcPr>
            <w:tcW w:w="227" w:type="pct"/>
            <w:vMerge/>
            <w:vAlign w:val="center"/>
            <w:hideMark/>
          </w:tcPr>
          <w:p w:rsidR="00466C59" w:rsidRPr="002519A6" w:rsidRDefault="00466C59" w:rsidP="00073623">
            <w:pPr>
              <w:widowControl/>
              <w:jc w:val="left"/>
              <w:rPr>
                <w:rFonts w:ascii="宋体" w:hAnsi="宋体" w:cs="宋体"/>
                <w:b/>
                <w:bCs/>
                <w:color w:val="000000"/>
                <w:kern w:val="0"/>
                <w:sz w:val="22"/>
              </w:rPr>
            </w:pPr>
          </w:p>
        </w:tc>
        <w:tc>
          <w:tcPr>
            <w:tcW w:w="1582" w:type="pct"/>
            <w:gridSpan w:val="2"/>
            <w:vMerge/>
            <w:vAlign w:val="center"/>
            <w:hideMark/>
          </w:tcPr>
          <w:p w:rsidR="00466C59" w:rsidRPr="002519A6" w:rsidRDefault="00466C59" w:rsidP="00073623">
            <w:pPr>
              <w:widowControl/>
              <w:jc w:val="left"/>
              <w:rPr>
                <w:rFonts w:ascii="宋体" w:hAnsi="宋体" w:cs="宋体"/>
                <w:b/>
                <w:bCs/>
                <w:color w:val="000000"/>
                <w:kern w:val="0"/>
                <w:sz w:val="22"/>
              </w:rPr>
            </w:pPr>
          </w:p>
        </w:tc>
        <w:tc>
          <w:tcPr>
            <w:tcW w:w="397" w:type="pct"/>
            <w:vMerge/>
            <w:vAlign w:val="center"/>
            <w:hideMark/>
          </w:tcPr>
          <w:p w:rsidR="00466C59" w:rsidRPr="002519A6" w:rsidRDefault="00466C59" w:rsidP="00073623">
            <w:pPr>
              <w:widowControl/>
              <w:jc w:val="left"/>
              <w:rPr>
                <w:rFonts w:ascii="宋体" w:hAnsi="宋体" w:cs="宋体"/>
                <w:b/>
                <w:bCs/>
                <w:color w:val="000000"/>
                <w:kern w:val="0"/>
                <w:sz w:val="22"/>
              </w:rPr>
            </w:pPr>
          </w:p>
        </w:tc>
        <w:tc>
          <w:tcPr>
            <w:tcW w:w="2794" w:type="pct"/>
            <w:vMerge/>
            <w:vAlign w:val="center"/>
            <w:hideMark/>
          </w:tcPr>
          <w:p w:rsidR="00466C59" w:rsidRPr="002519A6" w:rsidRDefault="00466C59" w:rsidP="00073623">
            <w:pPr>
              <w:widowControl/>
              <w:jc w:val="left"/>
              <w:rPr>
                <w:rFonts w:ascii="宋体" w:hAnsi="宋体" w:cs="宋体"/>
                <w:b/>
                <w:bCs/>
                <w:color w:val="000000"/>
                <w:kern w:val="0"/>
                <w:sz w:val="22"/>
              </w:rPr>
            </w:pPr>
          </w:p>
        </w:tc>
      </w:tr>
      <w:tr w:rsidR="00466C59" w:rsidRPr="002519A6" w:rsidTr="00785B73">
        <w:trPr>
          <w:trHeight w:val="2736"/>
        </w:trPr>
        <w:tc>
          <w:tcPr>
            <w:tcW w:w="227" w:type="pc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1</w:t>
            </w:r>
          </w:p>
        </w:tc>
        <w:tc>
          <w:tcPr>
            <w:tcW w:w="803" w:type="pct"/>
            <w:vMerge w:val="restar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采用全新设计/用于全新适用范围</w:t>
            </w:r>
          </w:p>
        </w:tc>
        <w:tc>
          <w:tcPr>
            <w:tcW w:w="779" w:type="pc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植入式心脏起搏器、植入式心脏除颤器、植入式心脏再同步复律除颤器</w:t>
            </w:r>
          </w:p>
        </w:tc>
        <w:tc>
          <w:tcPr>
            <w:tcW w:w="397" w:type="pc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12</w:t>
            </w:r>
          </w:p>
        </w:tc>
        <w:tc>
          <w:tcPr>
            <w:tcW w:w="2794" w:type="pc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植入于体内的电子治疗仪器，由脉冲发生器和电极导线组成。植入式心脏起搏器产品具有起搏、感知、程控等功能，通过脉冲发生器发放由电池提供能量的电脉冲，通过电极导线的传导，刺激电极所接触的心肌，使心脏激动和收缩，从而达到治疗由于某些心律失常所致的心脏功能障碍的目的。</w:t>
            </w:r>
            <w:r w:rsidRPr="002519A6">
              <w:rPr>
                <w:rFonts w:ascii="宋体" w:hAnsi="宋体" w:cs="宋体" w:hint="eastAsia"/>
                <w:color w:val="000000"/>
                <w:kern w:val="0"/>
                <w:sz w:val="22"/>
              </w:rPr>
              <w:br/>
              <w:t>植入式心脏除颤器可提供室性抗心动过速起搏功能和对心室除颤功能,用于对危及生命的室性心律失常的自动治疗。</w:t>
            </w:r>
            <w:r w:rsidRPr="002519A6">
              <w:rPr>
                <w:rFonts w:ascii="宋体" w:hAnsi="宋体" w:cs="宋体" w:hint="eastAsia"/>
                <w:color w:val="000000"/>
                <w:kern w:val="0"/>
                <w:sz w:val="22"/>
              </w:rPr>
              <w:br/>
              <w:t>植入式心脏再同步复律除颤器还适用于患有充血性心力衰竭的病人,使其右心室和左心室再同步。</w:t>
            </w:r>
          </w:p>
        </w:tc>
      </w:tr>
      <w:tr w:rsidR="00466C59" w:rsidRPr="002519A6" w:rsidTr="00785B73">
        <w:trPr>
          <w:trHeight w:val="888"/>
        </w:trPr>
        <w:tc>
          <w:tcPr>
            <w:tcW w:w="227" w:type="pc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2</w:t>
            </w:r>
          </w:p>
        </w:tc>
        <w:tc>
          <w:tcPr>
            <w:tcW w:w="803" w:type="pct"/>
            <w:vMerge/>
            <w:vAlign w:val="center"/>
            <w:hideMark/>
          </w:tcPr>
          <w:p w:rsidR="00466C59" w:rsidRPr="002519A6" w:rsidRDefault="00466C59" w:rsidP="00073623">
            <w:pPr>
              <w:widowControl/>
              <w:jc w:val="left"/>
              <w:rPr>
                <w:rFonts w:ascii="宋体" w:hAnsi="宋体" w:cs="宋体"/>
                <w:color w:val="000000"/>
                <w:kern w:val="0"/>
                <w:sz w:val="22"/>
              </w:rPr>
            </w:pPr>
          </w:p>
        </w:tc>
        <w:tc>
          <w:tcPr>
            <w:tcW w:w="779" w:type="pc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植入式血泵</w:t>
            </w:r>
          </w:p>
        </w:tc>
        <w:tc>
          <w:tcPr>
            <w:tcW w:w="397" w:type="pc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12</w:t>
            </w:r>
          </w:p>
        </w:tc>
        <w:tc>
          <w:tcPr>
            <w:tcW w:w="2794" w:type="pc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由血泵和能量转换装置组合而成，依靠微型电-机(或电-液)能量转换装置来驱动，维持正常的人体血液循环，起到部分或完全代替自然心脏的功能。</w:t>
            </w:r>
          </w:p>
        </w:tc>
      </w:tr>
      <w:tr w:rsidR="00466C59" w:rsidRPr="002519A6" w:rsidTr="00785B73">
        <w:trPr>
          <w:trHeight w:val="852"/>
        </w:trPr>
        <w:tc>
          <w:tcPr>
            <w:tcW w:w="227" w:type="pc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3</w:t>
            </w:r>
          </w:p>
        </w:tc>
        <w:tc>
          <w:tcPr>
            <w:tcW w:w="803" w:type="pct"/>
            <w:vMerge/>
            <w:vAlign w:val="center"/>
            <w:hideMark/>
          </w:tcPr>
          <w:p w:rsidR="00466C59" w:rsidRPr="002519A6" w:rsidRDefault="00466C59" w:rsidP="00073623">
            <w:pPr>
              <w:widowControl/>
              <w:jc w:val="left"/>
              <w:rPr>
                <w:rFonts w:ascii="宋体" w:hAnsi="宋体" w:cs="宋体"/>
                <w:color w:val="000000"/>
                <w:kern w:val="0"/>
                <w:sz w:val="22"/>
              </w:rPr>
            </w:pPr>
          </w:p>
        </w:tc>
        <w:tc>
          <w:tcPr>
            <w:tcW w:w="779" w:type="pc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植入式药物灌注泵</w:t>
            </w:r>
          </w:p>
        </w:tc>
        <w:tc>
          <w:tcPr>
            <w:tcW w:w="397" w:type="pc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12</w:t>
            </w:r>
          </w:p>
        </w:tc>
        <w:tc>
          <w:tcPr>
            <w:tcW w:w="2794" w:type="pc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其药物灌注泵植入人体，与鞘内导管、导管入口组件、再灌注组件、袋囊组件、穿刺组件和程控器等配合使用，用于需长期输入药物或液体的患者。</w:t>
            </w:r>
          </w:p>
        </w:tc>
      </w:tr>
      <w:tr w:rsidR="00466C59" w:rsidRPr="002519A6" w:rsidTr="00785B73">
        <w:trPr>
          <w:trHeight w:val="516"/>
        </w:trPr>
        <w:tc>
          <w:tcPr>
            <w:tcW w:w="227" w:type="pct"/>
            <w:vMerge w:val="restar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4</w:t>
            </w:r>
          </w:p>
        </w:tc>
        <w:tc>
          <w:tcPr>
            <w:tcW w:w="803" w:type="pct"/>
            <w:vMerge w:val="restar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Pr>
                <w:rFonts w:ascii="宋体" w:hAnsi="宋体" w:cs="宋体" w:hint="eastAsia"/>
                <w:color w:val="000000"/>
                <w:kern w:val="0"/>
                <w:sz w:val="22"/>
              </w:rPr>
              <w:t>未在</w:t>
            </w:r>
            <w:r w:rsidRPr="007119D0">
              <w:rPr>
                <w:rFonts w:ascii="宋体" w:hAnsi="宋体" w:cs="宋体" w:hint="eastAsia"/>
                <w:color w:val="000000"/>
                <w:kern w:val="0"/>
                <w:sz w:val="22"/>
              </w:rPr>
              <w:t>境内和境外</w:t>
            </w:r>
            <w:r>
              <w:rPr>
                <w:rFonts w:ascii="宋体" w:hAnsi="宋体" w:cs="宋体" w:hint="eastAsia"/>
                <w:color w:val="000000"/>
                <w:kern w:val="0"/>
                <w:sz w:val="22"/>
              </w:rPr>
              <w:t>上市</w:t>
            </w:r>
            <w:r w:rsidRPr="007119D0">
              <w:rPr>
                <w:rFonts w:ascii="宋体" w:hAnsi="宋体" w:cs="宋体" w:hint="eastAsia"/>
                <w:color w:val="000000"/>
                <w:kern w:val="0"/>
                <w:sz w:val="22"/>
              </w:rPr>
              <w:t>的无源植入性医疗器械</w:t>
            </w:r>
          </w:p>
        </w:tc>
        <w:tc>
          <w:tcPr>
            <w:tcW w:w="779" w:type="pct"/>
            <w:vMerge w:val="restart"/>
            <w:shd w:val="clear" w:color="auto" w:fill="auto"/>
            <w:vAlign w:val="center"/>
          </w:tcPr>
          <w:p w:rsidR="00466C59" w:rsidRPr="002519A6" w:rsidRDefault="00466C59" w:rsidP="00073623">
            <w:pPr>
              <w:widowControl/>
              <w:jc w:val="left"/>
              <w:rPr>
                <w:rFonts w:ascii="宋体" w:hAnsi="宋体" w:cs="宋体"/>
                <w:color w:val="000000"/>
                <w:kern w:val="0"/>
                <w:sz w:val="22"/>
              </w:rPr>
            </w:pPr>
            <w:r w:rsidRPr="007119D0">
              <w:rPr>
                <w:rFonts w:ascii="宋体" w:hAnsi="宋体" w:cs="宋体" w:hint="eastAsia"/>
                <w:color w:val="000000"/>
                <w:kern w:val="0"/>
                <w:sz w:val="22"/>
              </w:rPr>
              <w:t>无源植入性医疗器械（骨科、齿科产品除外）</w:t>
            </w:r>
          </w:p>
        </w:tc>
        <w:tc>
          <w:tcPr>
            <w:tcW w:w="397" w:type="pct"/>
            <w:vMerge w:val="restar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13</w:t>
            </w:r>
          </w:p>
        </w:tc>
        <w:tc>
          <w:tcPr>
            <w:tcW w:w="2794" w:type="pct"/>
            <w:vMerge w:val="restar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7119D0">
              <w:rPr>
                <w:rFonts w:ascii="宋体" w:hAnsi="宋体" w:cs="宋体" w:hint="eastAsia"/>
                <w:color w:val="000000"/>
                <w:kern w:val="0"/>
                <w:sz w:val="22"/>
              </w:rPr>
              <w:t>与境内和境外市场上已有的医疗器械产品相比，主要组成材料、主要作用机理/原理发生重大改变的植入性医疗器械（骨科、齿科产品除外）。</w:t>
            </w:r>
          </w:p>
        </w:tc>
      </w:tr>
      <w:tr w:rsidR="00466C59" w:rsidRPr="002519A6" w:rsidTr="00785B73">
        <w:trPr>
          <w:trHeight w:val="960"/>
        </w:trPr>
        <w:tc>
          <w:tcPr>
            <w:tcW w:w="227" w:type="pct"/>
            <w:vMerge/>
            <w:vAlign w:val="center"/>
            <w:hideMark/>
          </w:tcPr>
          <w:p w:rsidR="00466C59" w:rsidRPr="002519A6" w:rsidRDefault="00466C59" w:rsidP="00073623">
            <w:pPr>
              <w:widowControl/>
              <w:jc w:val="left"/>
              <w:rPr>
                <w:rFonts w:ascii="宋体" w:hAnsi="宋体" w:cs="宋体"/>
                <w:color w:val="000000"/>
                <w:kern w:val="0"/>
                <w:sz w:val="22"/>
              </w:rPr>
            </w:pPr>
          </w:p>
        </w:tc>
        <w:tc>
          <w:tcPr>
            <w:tcW w:w="803" w:type="pct"/>
            <w:vMerge/>
            <w:vAlign w:val="center"/>
            <w:hideMark/>
          </w:tcPr>
          <w:p w:rsidR="00466C59" w:rsidRPr="002519A6" w:rsidRDefault="00466C59" w:rsidP="00073623">
            <w:pPr>
              <w:widowControl/>
              <w:jc w:val="left"/>
              <w:rPr>
                <w:rFonts w:ascii="宋体" w:hAnsi="宋体" w:cs="宋体"/>
                <w:color w:val="000000"/>
                <w:kern w:val="0"/>
                <w:sz w:val="22"/>
              </w:rPr>
            </w:pPr>
          </w:p>
        </w:tc>
        <w:tc>
          <w:tcPr>
            <w:tcW w:w="779" w:type="pct"/>
            <w:vMerge/>
            <w:vAlign w:val="center"/>
          </w:tcPr>
          <w:p w:rsidR="00466C59" w:rsidRPr="002519A6" w:rsidRDefault="00466C59" w:rsidP="00073623">
            <w:pPr>
              <w:widowControl/>
              <w:jc w:val="left"/>
              <w:rPr>
                <w:rFonts w:ascii="宋体" w:hAnsi="宋体" w:cs="宋体"/>
                <w:color w:val="000000"/>
                <w:kern w:val="0"/>
                <w:sz w:val="22"/>
              </w:rPr>
            </w:pPr>
          </w:p>
        </w:tc>
        <w:tc>
          <w:tcPr>
            <w:tcW w:w="397" w:type="pct"/>
            <w:vMerge/>
            <w:vAlign w:val="center"/>
            <w:hideMark/>
          </w:tcPr>
          <w:p w:rsidR="00466C59" w:rsidRPr="002519A6" w:rsidRDefault="00466C59" w:rsidP="00073623">
            <w:pPr>
              <w:widowControl/>
              <w:jc w:val="left"/>
              <w:rPr>
                <w:rFonts w:ascii="宋体" w:hAnsi="宋体" w:cs="宋体"/>
                <w:color w:val="000000"/>
                <w:kern w:val="0"/>
                <w:sz w:val="22"/>
              </w:rPr>
            </w:pPr>
          </w:p>
        </w:tc>
        <w:tc>
          <w:tcPr>
            <w:tcW w:w="2794" w:type="pct"/>
            <w:vMerge/>
            <w:vAlign w:val="center"/>
            <w:hideMark/>
          </w:tcPr>
          <w:p w:rsidR="00466C59" w:rsidRPr="002519A6" w:rsidRDefault="00466C59" w:rsidP="00073623">
            <w:pPr>
              <w:widowControl/>
              <w:jc w:val="left"/>
              <w:rPr>
                <w:rFonts w:ascii="宋体" w:hAnsi="宋体" w:cs="宋体"/>
                <w:color w:val="000000"/>
                <w:kern w:val="0"/>
                <w:sz w:val="22"/>
              </w:rPr>
            </w:pPr>
          </w:p>
        </w:tc>
      </w:tr>
      <w:tr w:rsidR="00466C59" w:rsidRPr="002519A6" w:rsidTr="00785B73">
        <w:trPr>
          <w:trHeight w:val="864"/>
        </w:trPr>
        <w:tc>
          <w:tcPr>
            <w:tcW w:w="227" w:type="pc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5</w:t>
            </w:r>
          </w:p>
        </w:tc>
        <w:tc>
          <w:tcPr>
            <w:tcW w:w="803" w:type="pct"/>
            <w:vMerge w:val="restar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未在境内和境外上市的</w:t>
            </w:r>
            <w:r>
              <w:rPr>
                <w:rFonts w:ascii="宋体" w:hAnsi="宋体" w:cs="宋体" w:hint="eastAsia"/>
                <w:color w:val="000000"/>
                <w:kern w:val="0"/>
                <w:sz w:val="22"/>
              </w:rPr>
              <w:t>无源植入性骨科、齿科</w:t>
            </w:r>
            <w:r w:rsidRPr="002519A6">
              <w:rPr>
                <w:rFonts w:ascii="宋体" w:hAnsi="宋体" w:cs="宋体" w:hint="eastAsia"/>
                <w:color w:val="000000"/>
                <w:kern w:val="0"/>
                <w:sz w:val="22"/>
              </w:rPr>
              <w:t>医疗器械，其安全性和有效性不明确的；或       未在境内上市，已在境外上市，但其安全性和有效性客观数据不充分的</w:t>
            </w:r>
          </w:p>
        </w:tc>
        <w:tc>
          <w:tcPr>
            <w:tcW w:w="779" w:type="pc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可吸收四肢长骨内固定产品</w:t>
            </w:r>
          </w:p>
        </w:tc>
        <w:tc>
          <w:tcPr>
            <w:tcW w:w="397" w:type="pc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13</w:t>
            </w:r>
          </w:p>
        </w:tc>
        <w:tc>
          <w:tcPr>
            <w:tcW w:w="2794" w:type="pc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由可吸收高分子材料或可吸收金属材料制成的四肢长骨内固定产品，通过对骨折断端的连接、固定，实现四肢长骨骨干的骨折复位及早期负重，适用于四肢长骨骨干负重部位骨折内固定。</w:t>
            </w:r>
          </w:p>
        </w:tc>
      </w:tr>
      <w:tr w:rsidR="00466C59" w:rsidRPr="002519A6" w:rsidTr="00785B73">
        <w:trPr>
          <w:trHeight w:val="972"/>
        </w:trPr>
        <w:tc>
          <w:tcPr>
            <w:tcW w:w="227" w:type="pc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6</w:t>
            </w:r>
          </w:p>
        </w:tc>
        <w:tc>
          <w:tcPr>
            <w:tcW w:w="803" w:type="pct"/>
            <w:vMerge/>
            <w:vAlign w:val="center"/>
            <w:hideMark/>
          </w:tcPr>
          <w:p w:rsidR="00466C59" w:rsidRPr="002519A6" w:rsidRDefault="00466C59" w:rsidP="00073623">
            <w:pPr>
              <w:widowControl/>
              <w:jc w:val="left"/>
              <w:rPr>
                <w:rFonts w:ascii="宋体" w:hAnsi="宋体" w:cs="宋体"/>
                <w:color w:val="000000"/>
                <w:kern w:val="0"/>
                <w:sz w:val="22"/>
              </w:rPr>
            </w:pPr>
          </w:p>
        </w:tc>
        <w:tc>
          <w:tcPr>
            <w:tcW w:w="779" w:type="pc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纳米骨科植入物</w:t>
            </w:r>
          </w:p>
        </w:tc>
        <w:tc>
          <w:tcPr>
            <w:tcW w:w="397" w:type="pc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13</w:t>
            </w:r>
          </w:p>
        </w:tc>
        <w:tc>
          <w:tcPr>
            <w:tcW w:w="2794" w:type="pc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含有纳米级材料或由纳米技术制成的骨科植入物，通过纳米级材料及纳米工艺的特性和效应，实现骨科植入物的临床要求，适用于骨及附属组织的支持、固定、替代。</w:t>
            </w:r>
          </w:p>
        </w:tc>
      </w:tr>
      <w:tr w:rsidR="00466C59" w:rsidRPr="002519A6" w:rsidTr="00785B73">
        <w:trPr>
          <w:trHeight w:val="864"/>
        </w:trPr>
        <w:tc>
          <w:tcPr>
            <w:tcW w:w="227" w:type="pct"/>
            <w:shd w:val="clear" w:color="000000" w:fill="FFFFFF"/>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7</w:t>
            </w:r>
          </w:p>
        </w:tc>
        <w:tc>
          <w:tcPr>
            <w:tcW w:w="803" w:type="pct"/>
            <w:vMerge/>
            <w:vAlign w:val="center"/>
            <w:hideMark/>
          </w:tcPr>
          <w:p w:rsidR="00466C59" w:rsidRPr="002519A6" w:rsidRDefault="00466C59" w:rsidP="00073623">
            <w:pPr>
              <w:widowControl/>
              <w:jc w:val="left"/>
              <w:rPr>
                <w:rFonts w:ascii="宋体" w:hAnsi="宋体" w:cs="宋体"/>
                <w:color w:val="000000"/>
                <w:kern w:val="0"/>
                <w:sz w:val="22"/>
              </w:rPr>
            </w:pPr>
          </w:p>
        </w:tc>
        <w:tc>
          <w:tcPr>
            <w:tcW w:w="779" w:type="pct"/>
            <w:shd w:val="clear" w:color="000000" w:fill="FFFFFF"/>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含药/生物活性因子/细胞骨科植入物</w:t>
            </w:r>
          </w:p>
        </w:tc>
        <w:tc>
          <w:tcPr>
            <w:tcW w:w="397" w:type="pct"/>
            <w:shd w:val="clear" w:color="000000" w:fill="FFFFFF"/>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13</w:t>
            </w:r>
          </w:p>
        </w:tc>
        <w:tc>
          <w:tcPr>
            <w:tcW w:w="2794" w:type="pct"/>
            <w:shd w:val="clear" w:color="000000" w:fill="FFFFFF"/>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由含有一种或多种药物/生物活性因子/活细胞的材料，通过常规加工、组织工程等工艺制成的骨科植入物，实现骨科植入物的临床要求，适用于骨及附属组织的支持、固定、替代。</w:t>
            </w:r>
          </w:p>
        </w:tc>
      </w:tr>
      <w:tr w:rsidR="00466C59" w:rsidRPr="002519A6" w:rsidTr="00785B73">
        <w:trPr>
          <w:trHeight w:val="708"/>
        </w:trPr>
        <w:tc>
          <w:tcPr>
            <w:tcW w:w="227" w:type="pc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8</w:t>
            </w:r>
          </w:p>
        </w:tc>
        <w:tc>
          <w:tcPr>
            <w:tcW w:w="803" w:type="pct"/>
            <w:vMerge/>
            <w:vAlign w:val="center"/>
            <w:hideMark/>
          </w:tcPr>
          <w:p w:rsidR="00466C59" w:rsidRPr="002519A6" w:rsidRDefault="00466C59" w:rsidP="00073623">
            <w:pPr>
              <w:widowControl/>
              <w:jc w:val="left"/>
              <w:rPr>
                <w:rFonts w:ascii="宋体" w:hAnsi="宋体" w:cs="宋体"/>
                <w:color w:val="000000"/>
                <w:kern w:val="0"/>
                <w:sz w:val="22"/>
              </w:rPr>
            </w:pPr>
          </w:p>
        </w:tc>
        <w:tc>
          <w:tcPr>
            <w:tcW w:w="779" w:type="pc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其他全新设计的骨科、齿科植入物</w:t>
            </w:r>
          </w:p>
        </w:tc>
        <w:tc>
          <w:tcPr>
            <w:tcW w:w="397" w:type="pct"/>
            <w:shd w:val="clear" w:color="auto" w:fill="auto"/>
            <w:vAlign w:val="center"/>
            <w:hideMark/>
          </w:tcPr>
          <w:p w:rsidR="00466C59" w:rsidRPr="002519A6" w:rsidRDefault="00466C59" w:rsidP="00073623">
            <w:pPr>
              <w:widowControl/>
              <w:jc w:val="center"/>
              <w:rPr>
                <w:rFonts w:ascii="宋体" w:hAnsi="宋体" w:cs="宋体"/>
                <w:color w:val="000000"/>
                <w:kern w:val="0"/>
                <w:sz w:val="22"/>
              </w:rPr>
            </w:pPr>
            <w:r w:rsidRPr="002519A6">
              <w:rPr>
                <w:rFonts w:ascii="宋体" w:hAnsi="宋体" w:cs="宋体" w:hint="eastAsia"/>
                <w:color w:val="000000"/>
                <w:kern w:val="0"/>
                <w:sz w:val="22"/>
              </w:rPr>
              <w:t>13</w:t>
            </w:r>
            <w:r>
              <w:rPr>
                <w:rFonts w:ascii="宋体" w:hAnsi="宋体" w:cs="宋体" w:hint="eastAsia"/>
                <w:color w:val="000000"/>
                <w:kern w:val="0"/>
                <w:sz w:val="22"/>
              </w:rPr>
              <w:t>/17</w:t>
            </w:r>
          </w:p>
        </w:tc>
        <w:tc>
          <w:tcPr>
            <w:tcW w:w="2794" w:type="pct"/>
            <w:shd w:val="clear" w:color="auto" w:fill="auto"/>
            <w:vAlign w:val="center"/>
            <w:hideMark/>
          </w:tcPr>
          <w:p w:rsidR="00466C59" w:rsidRPr="002519A6" w:rsidRDefault="00466C59" w:rsidP="00073623">
            <w:pPr>
              <w:widowControl/>
              <w:jc w:val="left"/>
              <w:rPr>
                <w:rFonts w:ascii="宋体" w:hAnsi="宋体" w:cs="宋体"/>
                <w:color w:val="000000"/>
                <w:kern w:val="0"/>
                <w:sz w:val="22"/>
              </w:rPr>
            </w:pPr>
            <w:r w:rsidRPr="002519A6">
              <w:rPr>
                <w:rFonts w:ascii="宋体" w:hAnsi="宋体" w:cs="宋体" w:hint="eastAsia"/>
                <w:color w:val="000000"/>
                <w:kern w:val="0"/>
                <w:sz w:val="22"/>
              </w:rPr>
              <w:t>除上述产品外，采用全新机理或材料的骨科、齿科植入物。</w:t>
            </w:r>
          </w:p>
        </w:tc>
      </w:tr>
    </w:tbl>
    <w:p w:rsidR="009F5A73" w:rsidRPr="00466C59" w:rsidRDefault="009F5A73"/>
    <w:sectPr w:rsidR="009F5A73" w:rsidRPr="00466C59" w:rsidSect="003E144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DD1" w:rsidRDefault="00462DD1" w:rsidP="00466C59">
      <w:r>
        <w:separator/>
      </w:r>
    </w:p>
  </w:endnote>
  <w:endnote w:type="continuationSeparator" w:id="1">
    <w:p w:rsidR="00462DD1" w:rsidRDefault="00462DD1" w:rsidP="00466C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73" w:rsidRDefault="00785B7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73" w:rsidRDefault="00785B7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73" w:rsidRDefault="00785B7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DD1" w:rsidRDefault="00462DD1" w:rsidP="00466C59">
      <w:r>
        <w:separator/>
      </w:r>
    </w:p>
  </w:footnote>
  <w:footnote w:type="continuationSeparator" w:id="1">
    <w:p w:rsidR="00462DD1" w:rsidRDefault="00462DD1" w:rsidP="00466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73" w:rsidRDefault="00785B73" w:rsidP="00785B73">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73" w:rsidRDefault="00785B73" w:rsidP="00785B7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B73" w:rsidRDefault="00785B7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6C59"/>
    <w:rsid w:val="003E144B"/>
    <w:rsid w:val="00462DD1"/>
    <w:rsid w:val="00466C59"/>
    <w:rsid w:val="00785B73"/>
    <w:rsid w:val="009F5A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C5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66C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66C59"/>
    <w:rPr>
      <w:sz w:val="18"/>
      <w:szCs w:val="18"/>
    </w:rPr>
  </w:style>
  <w:style w:type="paragraph" w:styleId="a4">
    <w:name w:val="footer"/>
    <w:basedOn w:val="a"/>
    <w:link w:val="Char0"/>
    <w:uiPriority w:val="99"/>
    <w:semiHidden/>
    <w:unhideWhenUsed/>
    <w:rsid w:val="00466C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66C5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900</Characters>
  <Application>Microsoft Office Word</Application>
  <DocSecurity>0</DocSecurity>
  <Lines>7</Lines>
  <Paragraphs>2</Paragraphs>
  <ScaleCrop>false</ScaleCrop>
  <Company>Microsoft</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闵玥</dc:creator>
  <cp:keywords/>
  <dc:description/>
  <cp:lastModifiedBy>闵玥</cp:lastModifiedBy>
  <cp:revision>3</cp:revision>
  <dcterms:created xsi:type="dcterms:W3CDTF">2019-12-16T02:29:00Z</dcterms:created>
  <dcterms:modified xsi:type="dcterms:W3CDTF">2019-12-16T02:45:00Z</dcterms:modified>
</cp:coreProperties>
</file>